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110</w:t>
      </w:r>
    </w:p>
    <w:p>
      <w:r>
        <w:t>Bundesgericht (BGE), 2000-02-03, DE</w:t>
      </w:r>
    </w:p>
    <w:p>
      <w:r>
        <w:rPr>
          <w:b/>
        </w:rPr>
        <w:t xml:space="preserve">Quelle: </w:t>
      </w:r>
      <w:r>
        <w:t>https://mcp.opencaselaw.ch/entscheid/bge_126 III 110</w:t>
      </w:r>
    </w:p>
    <w:p>
      <w:r>
        <w:t>FR: ATF 126 III 110</w:t>
      </w:r>
    </w:p>
    <w:p>
      <w:r>
        <w:t>IT: DTF 126 III 110</w:t>
      </w:r>
    </w:p>
    <w:p>
      <w:pPr>
        <w:pStyle w:val="Heading2"/>
      </w:pPr>
      <w:r>
        <w:t>Regeste</w:t>
      </w:r>
    </w:p>
    <w:p>
      <w:r>
        <w:t>Regeste Entscheid betreffend Bewilligung des Rechtsvorschlages; Zulässigkeit der staatsrechtlichen Beschwerde. Der Entscheid betreffend Bewilligung des Rechtsvorschlages gemäss Art. 265a Abs. 2 SchKG ist ein Endentscheid im Sinne von Art. 87 OG. Er gilt als letztinstanzlich, soweit mit der staatsrechtlichen Beschwerde eine Verletzung des rechtlichen Gehörs (Art. 265a Abs. 1 SchKG) gerügt wird (E. 1).</w:t>
      </w:r>
    </w:p>
    <w:p>
      <w:pPr>
        <w:pStyle w:val="Heading2"/>
      </w:pPr>
      <w:r>
        <w:t>Erwägungen</w:t>
      </w:r>
    </w:p>
    <w:p>
      <w:r>
        <w:rPr>
          <w:b/>
        </w:rPr>
        <w:t>E. 1</w:t>
      </w:r>
    </w:p>
    <w:p>
      <w:r>
        <w:t>a) Der Rechtsöffnungsrichter hält in seiner Vernehmlassung dafür, beim angefochtenen Entscheid handle es sich um eine Zwischenverfügung im Sinne von Art. 87 OG , welche für den Beschwerdeführer keinen nichtwiedergutzumachenden Nachteil zur Folge habe; er könne im Anschluss an das Bewilligungsverfahren des Art. 265a Abs. 1 bis 3 SchKG innert 20 Tagen seit Eröffnung des Entscheides beim Richter des Betreibungsortes Klage auf Feststellung neuen Vermögens erheben ( Art. 265a Abs. 4 SchKG ). b) Das Verfahren betreffend Bewilligung des Rechtsvorschlages gemäss Art. 265a Abs. 1 bis 3 SchKG ist summarischer Natur, und der Richter entscheidet endgültig darüber, ob der Rechtsvorschlag bewilligt wird oder nicht ( Art. 265a Abs. 1 SchKG ). Die Bewilligung des Rechtsvorschlages führt überdies zur Einstellung der Betreibung ( Art. 78 Abs. 1 SchKG ). Es liegt demnach ein Endentscheid im Sinne von Art. 87 OG vor (gl.M.: GASSER, Nachlassverfahren, Insolvenzerklärung und Feststellung neuen Vermögens nach rev. SchKG, ZBJV 132/1996 S. 19; HUBER Kommentar zum Bundesgesetz über Schuldbetreibung und Konkurs, SchKG III, Basel 1998, N. 31 zu Art. 265a SchKG ; a.M.: BRÖNNIMANN Neuerungen bei ausgewählten Klagen des SchKG, ZSR 115/1996 I S. 230; NICOLAS JEANDIN, Actes de défaut de biens et retour à meilleure fortune selon le nouveau droit, SJ 1997 S. 290; BEAT FÜRSTENBERGER Einrede des mangelnden und Feststellung neuen Vermögens nach revidiertem Schuldbetreibungs- und Konkursgesetz, Diss. BS 1999, S. 97 f.). BGE 126 III 110 S. 112 Gegen den Entscheid des Rechtsöffnungsrichters sind von Bundesrechts wegen jegliche kantonale Rechtsmittel ausgeschlossen (Art. 265a Abs. 1 letzter Satz SchKG; Botschaft über die Änderung des Bundesgesetzes über Schuldbetreibung und Konkurs, BBl 1991 III 159), weshalb eine Heilung der Verletzung des rechtlichen Gehörs im summarischen Verfahren der Bewilligung des Rechtsvorschlages nicht mehr möglich ist (zur Heilung und deren Voraussetzungen: BGE 105 Ib 171 E. 3b S. 174; BGE 110 Ia 81 E. 5d). Zwar hat das Bundesgericht als Rechtsmittel auch andere Rechtsbehelfe, namentlich auch Klagen, anerkannt, die zur Beseitigung des Rechtsnachteils führen, der mit staatsrechtlicher Beschwerde angefochten wird ( BGE 94 I 365 E. 4 S. 370 mit Hinweisen auf frühere Entscheide; BGE 78 I 248 [Klage betreffend Herausgabe eines Kindes]; BGE 81 I 61 [Klage auf Anfechtung einer Namensänderung gemäss Art. 30 Abs. 3 ZGB ]; BGE 94 I 365 E. 4 S, 372 [Arrestaufhebungsklage gemäss aArt. 279 Abs. 2 SchKG]). Die Klage auf Feststellung neuen Vermögens ( Art. 265a Abs. 4 SchKG ) kann jedoch nicht der Heilung einer Verletzung des rechtlichen Gehörs dienen, die in einem nunmehr abgeschlossenen Verfahren begangen worden ist. Der angefochtene Entscheid erweist sich daher insoweit als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